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firstLine="720"/>
        <w:jc w:val="both"/>
        <w:rPr/>
      </w:pPr>
      <w:r>
        <w:rPr>
          <w:szCs w:val="24"/>
          <w:lang w:val="sr-CS"/>
        </w:rPr>
        <w:t>На основу члана 79. и члана 92. Закона о буџетском систему ("Службени гласник РС", бр. 54/2009, 73/2010, 101/2010, 101/2011, 93/2012, 62/2013, 63/2013 – испр., 108/2013</w:t>
      </w:r>
      <w:r>
        <w:rPr>
          <w:szCs w:val="24"/>
        </w:rPr>
        <w:t>,</w:t>
      </w:r>
      <w:r>
        <w:rPr>
          <w:szCs w:val="24"/>
          <w:lang w:val="sr-CS"/>
        </w:rPr>
        <w:t xml:space="preserve"> 142/2014, 68/2015 – др. закон, 103/2015, 99/2016, 113/2017, 95/2018, 31/2019 и 72/2019)</w:t>
      </w:r>
      <w:r>
        <w:rPr>
          <w:szCs w:val="24"/>
        </w:rPr>
        <w:t>,</w:t>
      </w:r>
      <w:r>
        <w:rPr>
          <w:lang w:val="sr-CS"/>
        </w:rPr>
        <w:t xml:space="preserve"> члана 40. Статута општине Параћин </w:t>
      </w:r>
      <w:r>
        <w:rPr>
          <w:color w:val="000000"/>
        </w:rPr>
        <w:t xml:space="preserve">(''Службени лист општине  Параћин'', број: </w:t>
      </w:r>
      <w:r>
        <w:rPr>
          <w:lang w:val="ru-RU"/>
        </w:rPr>
        <w:t>2</w:t>
      </w:r>
      <w:r>
        <w:rPr/>
        <w:t>2</w:t>
      </w:r>
      <w:r>
        <w:rPr>
          <w:lang w:val="ru-RU"/>
        </w:rPr>
        <w:t>/201</w:t>
      </w:r>
      <w:r>
        <w:rPr/>
        <w:t>8 и 4/2019</w:t>
      </w:r>
      <w:r>
        <w:rPr>
          <w:color w:val="000000"/>
        </w:rPr>
        <w:t xml:space="preserve">) и сагласности Државне ревизорске институције, </w:t>
      </w:r>
      <w:r>
        <w:rPr/>
        <w:t>бр. 400-529/2020-04 од 02.03.2020. године,</w:t>
      </w:r>
    </w:p>
    <w:p>
      <w:pPr>
        <w:pStyle w:val="Normal"/>
        <w:jc w:val="both"/>
        <w:rPr/>
      </w:pPr>
      <w:r>
        <w:rPr>
          <w:lang w:val="sr-CS"/>
        </w:rPr>
        <w:tab/>
        <w:t xml:space="preserve">Скупштина општине Параћин је на седници одржаној </w:t>
      </w:r>
      <w:r>
        <w:rPr>
          <w:lang w:val="en-US"/>
        </w:rPr>
        <w:t>19.03.</w:t>
      </w:r>
      <w:r>
        <w:rPr>
          <w:lang w:val="sr-CS"/>
        </w:rPr>
        <w:t>20</w:t>
      </w:r>
      <w:r>
        <w:rPr/>
        <w:t>20</w:t>
      </w:r>
      <w:r>
        <w:rPr>
          <w:lang w:val="sr-CS"/>
        </w:rPr>
        <w:t>. године, донела</w:t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jc w:val="center"/>
        <w:rPr>
          <w:b/>
          <w:b/>
          <w:lang w:val="sr-CS"/>
        </w:rPr>
      </w:pPr>
      <w:r>
        <w:rPr>
          <w:b/>
          <w:lang w:val="sr-CS"/>
        </w:rPr>
        <w:t>О Д Л У К У</w:t>
      </w:r>
    </w:p>
    <w:p>
      <w:pPr>
        <w:pStyle w:val="Normal"/>
        <w:jc w:val="center"/>
        <w:rPr>
          <w:b/>
          <w:b/>
          <w:lang w:val="sr-CS"/>
        </w:rPr>
      </w:pPr>
      <w:r>
        <w:rPr>
          <w:b/>
          <w:lang w:val="sr-CS"/>
        </w:rPr>
        <w:t>о ангажовању екстерне ревизије завршног рачуна буџета</w:t>
      </w:r>
    </w:p>
    <w:p>
      <w:pPr>
        <w:pStyle w:val="Normal"/>
        <w:jc w:val="center"/>
        <w:rPr>
          <w:b/>
          <w:b/>
          <w:lang w:val="sr-CS"/>
        </w:rPr>
      </w:pPr>
      <w:r>
        <w:rPr>
          <w:b/>
          <w:lang w:val="sr-CS"/>
        </w:rPr>
        <w:t>општине Параћин за 201</w:t>
      </w:r>
      <w:r>
        <w:rPr>
          <w:b/>
        </w:rPr>
        <w:t>9</w:t>
      </w:r>
      <w:r>
        <w:rPr>
          <w:b/>
          <w:lang w:val="sr-CS"/>
        </w:rPr>
        <w:t>. годину</w:t>
      </w:r>
    </w:p>
    <w:p>
      <w:pPr>
        <w:pStyle w:val="Normal"/>
        <w:jc w:val="center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center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jc w:val="center"/>
        <w:rPr>
          <w:lang w:val="sr-CS"/>
        </w:rPr>
      </w:pPr>
      <w:r>
        <w:rPr>
          <w:lang w:val="sr-CS"/>
        </w:rPr>
        <w:t xml:space="preserve">Члан 1. </w:t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  <w:tab/>
        <w:t>Доноси се Одлука о ангажовању екстерне ревизије Завршног рачуна буџета општине Параћин за 201</w:t>
      </w:r>
      <w:r>
        <w:rPr/>
        <w:t>9</w:t>
      </w:r>
      <w:r>
        <w:rPr>
          <w:lang w:val="sr-CS"/>
        </w:rPr>
        <w:t>. годину.</w:t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jc w:val="center"/>
        <w:rPr>
          <w:lang w:val="sr-CS"/>
        </w:rPr>
      </w:pPr>
      <w:r>
        <w:rPr>
          <w:lang w:val="sr-CS"/>
        </w:rPr>
        <w:t>Члан 2.</w:t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  <w:tab/>
        <w:t>Екстерну ревизију Завршног рачуна буџета општине Параћин за 201</w:t>
      </w:r>
      <w:r>
        <w:rPr/>
        <w:t>9</w:t>
      </w:r>
      <w:r>
        <w:rPr>
          <w:lang w:val="sr-CS"/>
        </w:rPr>
        <w:t>. годину, уз сагласност Државне ревизорске институције, а на основу ове одлуке, може да обави лице које испуњава услове за обављање послова ревизије финансијских извештаја прописане законом којим се уређује рачуноводство и ревизија.</w:t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jc w:val="center"/>
        <w:rPr>
          <w:lang w:val="sr-CS"/>
        </w:rPr>
      </w:pPr>
      <w:r>
        <w:rPr>
          <w:lang w:val="sr-CS"/>
        </w:rPr>
        <w:t>Члан 3.</w:t>
      </w:r>
    </w:p>
    <w:p>
      <w:pPr>
        <w:pStyle w:val="Normal"/>
        <w:jc w:val="both"/>
        <w:rPr>
          <w:lang w:val="sr-CS"/>
        </w:rPr>
      </w:pPr>
      <w:r>
        <w:rPr>
          <w:lang w:val="sr-CS"/>
        </w:rPr>
        <w:tab/>
        <w:t>Ова одлука ступа на снагу даном доношења, а објавиће се у ''Службеном листу општине Параћин''.</w:t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lang w:val="ru-RU"/>
        </w:rPr>
      </w:pPr>
      <w:r>
        <w:rPr>
          <w:lang w:val="ru-RU"/>
        </w:rPr>
        <w:t>СКУПШТИНА ОПШТИНЕ ПАРАЋИН</w:t>
      </w:r>
    </w:p>
    <w:p>
      <w:pPr>
        <w:pStyle w:val="Normal"/>
        <w:jc w:val="center"/>
        <w:rPr/>
      </w:pPr>
      <w:r>
        <w:rPr>
          <w:lang w:val="ru-RU"/>
        </w:rPr>
        <w:t>Број:</w:t>
      </w:r>
      <w:r>
        <w:rPr>
          <w:lang w:val="en-US"/>
        </w:rPr>
        <w:t>400-767</w:t>
      </w:r>
      <w:r>
        <w:rPr>
          <w:lang w:val="ru-RU"/>
        </w:rPr>
        <w:t>/20</w:t>
      </w:r>
      <w:r>
        <w:rPr/>
        <w:t xml:space="preserve">20 </w:t>
      </w:r>
      <w:r>
        <w:rPr>
          <w:lang w:val="ru-RU"/>
        </w:rPr>
        <w:t>-</w:t>
      </w:r>
      <w:r>
        <w:rPr>
          <w:lang w:val="sr-CS"/>
        </w:rPr>
        <w:t xml:space="preserve"> </w:t>
      </w:r>
      <w:r>
        <w:rPr/>
        <w:t>II</w:t>
      </w:r>
      <w:r>
        <w:rPr>
          <w:lang w:val="ru-RU"/>
        </w:rPr>
        <w:t xml:space="preserve"> од </w:t>
      </w:r>
      <w:r>
        <w:rPr>
          <w:lang w:val="en-US"/>
        </w:rPr>
        <w:t>19.03.</w:t>
      </w:r>
      <w:r>
        <w:rPr>
          <w:lang w:val="ru-RU"/>
        </w:rPr>
        <w:t>20</w:t>
      </w:r>
      <w:r>
        <w:rPr/>
        <w:t>20</w:t>
      </w:r>
      <w:r>
        <w:rPr>
          <w:lang w:val="ru-RU"/>
        </w:rPr>
        <w:t>. године</w:t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lang w:val="ru-RU"/>
        </w:rPr>
      </w:pPr>
      <w:r>
        <w:rPr>
          <w:lang w:val="ru-RU"/>
        </w:rPr>
        <w:tab/>
        <w:tab/>
        <w:tab/>
        <w:tab/>
        <w:tab/>
        <w:tab/>
        <w:t xml:space="preserve">                                              ПРЕДСЕДНИК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</w:t>
      </w:r>
      <w:r>
        <w:rPr>
          <w:lang w:val="ru-RU"/>
        </w:rPr>
        <w:t>СКУПШТИНЕ  ОПШТИНЕ,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lang w:val="sr-CS"/>
        </w:rPr>
      </w:pPr>
      <w:r>
        <w:rPr>
          <w:lang w:val="sr-CS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</w:t>
      </w:r>
      <w:r>
        <w:rPr>
          <w:lang w:val="ru-RU"/>
        </w:rPr>
        <w:t>Драган Митић, економиста</w:t>
      </w:r>
    </w:p>
    <w:p>
      <w:pPr>
        <w:pStyle w:val="Normal"/>
        <w:jc w:val="center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rPr>
          <w:lang w:val="sr-CS"/>
        </w:rPr>
      </w:pPr>
      <w:r>
        <w:rPr>
          <w:lang w:val="sr-CS"/>
        </w:rPr>
      </w:r>
    </w:p>
    <w:p>
      <w:pPr>
        <w:pStyle w:val="Normal"/>
        <w:ind w:left="0" w:right="-563" w:hanging="0"/>
        <w:jc w:val="center"/>
        <w:rPr>
          <w:b/>
          <w:b/>
          <w:lang w:val="sr-CS"/>
        </w:rPr>
      </w:pPr>
      <w:r>
        <w:rPr>
          <w:b/>
          <w:lang w:val="sr-CS"/>
        </w:rPr>
        <w:t>О б р а з л о ж е њ е</w:t>
      </w:r>
    </w:p>
    <w:p>
      <w:pPr>
        <w:pStyle w:val="Normal"/>
        <w:ind w:left="0" w:right="-563" w:hanging="0"/>
        <w:jc w:val="center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ind w:left="0" w:right="-563" w:hanging="0"/>
        <w:jc w:val="center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ind w:left="0" w:right="-563" w:hanging="0"/>
        <w:jc w:val="both"/>
        <w:rPr>
          <w:b/>
          <w:b/>
          <w:lang w:val="sr-CS"/>
        </w:rPr>
      </w:pPr>
      <w:r>
        <w:rPr>
          <w:b/>
          <w:lang w:val="sr-CS"/>
        </w:rPr>
      </w:r>
    </w:p>
    <w:p>
      <w:pPr>
        <w:pStyle w:val="Normal"/>
        <w:ind w:left="0" w:right="-563" w:hanging="0"/>
        <w:jc w:val="both"/>
        <w:rPr>
          <w:lang w:val="sr-CS"/>
        </w:rPr>
      </w:pPr>
      <w:r>
        <w:rPr>
          <w:lang w:val="sr-CS"/>
        </w:rPr>
        <w:tab/>
        <w:t xml:space="preserve">Чланом 79. Закона о буџетском систему </w:t>
      </w:r>
      <w:r>
        <w:rPr>
          <w:szCs w:val="24"/>
          <w:lang w:val="sr-CS"/>
        </w:rPr>
        <w:t>("Службени гласник РС", бр. 54/2009, 73/2010, 101/2010, 101/2011, 93/2012, 62/2013, 63/2013 – испр., 108/2013</w:t>
      </w:r>
      <w:r>
        <w:rPr>
          <w:szCs w:val="24"/>
        </w:rPr>
        <w:t>,</w:t>
      </w:r>
      <w:r>
        <w:rPr>
          <w:szCs w:val="24"/>
          <w:lang w:val="sr-CS"/>
        </w:rPr>
        <w:t xml:space="preserve"> 142/2014, 68/2015 – др. закон, 103/2015, 99/2016, 113/2017, 95/2018, 31/2019 и 72/2019)</w:t>
      </w:r>
      <w:r>
        <w:rPr>
          <w:lang w:val="sr-CS"/>
        </w:rPr>
        <w:t xml:space="preserve"> предвиђено је да завршни рачун буџета локалне заједнице, поред других елемената, садржи и извештај екстерне ревизије.</w:t>
      </w:r>
    </w:p>
    <w:p>
      <w:pPr>
        <w:pStyle w:val="Normal"/>
        <w:ind w:left="0" w:right="-563" w:hanging="0"/>
        <w:jc w:val="both"/>
        <w:rPr>
          <w:lang w:val="sr-CS"/>
        </w:rPr>
      </w:pPr>
      <w:r>
        <w:rPr>
          <w:lang w:val="sr-CS"/>
        </w:rPr>
        <w:tab/>
        <w:t>Чланом 92. став 3. истог закона одређено је да екстерну ревизију врши Државна ревизорска институција у складу са законом којим се уређује надлежност Државне ревизорске институције.</w:t>
      </w:r>
    </w:p>
    <w:p>
      <w:pPr>
        <w:pStyle w:val="Normal"/>
        <w:ind w:left="0" w:right="-563" w:hanging="0"/>
        <w:jc w:val="both"/>
        <w:rPr/>
      </w:pPr>
      <w:r>
        <w:rPr>
          <w:lang w:val="sr-CS"/>
        </w:rPr>
        <w:tab/>
        <w:t>Изузетно, од става 3. овог члана, екстерну ревизију буџета локалних власти, може, уз сагласност Државне ревизорске институције, на основу одлуке скупштине локалних власти, да обави и лице које испуњава услове за обављање послова ревизије финансијских извештаја прописане законом којим се уређује рачуноводство и ревизија (став 4. члана 92.).</w:t>
      </w:r>
      <w:r>
        <w:rPr/>
        <w:tab/>
        <w:t xml:space="preserve"> </w:t>
      </w:r>
    </w:p>
    <w:p>
      <w:pPr>
        <w:pStyle w:val="Normal"/>
        <w:ind w:left="0" w:right="-563" w:hanging="0"/>
        <w:jc w:val="both"/>
        <w:rPr/>
      </w:pPr>
      <w:r>
        <w:rPr/>
        <w:tab/>
        <w:t xml:space="preserve">Државна ревизорска институција је својим актом, бр. 400-529/2020-04 од 02.03.2020. године, дала сагласност да екстерну ревизију Завршног рачуна буџета општине Параћин за 2019. годину обави друго лице </w:t>
      </w:r>
      <w:r>
        <w:rPr>
          <w:lang w:val="sr-CS"/>
        </w:rPr>
        <w:t>које испуњава услове за обављање послова ревизије финансијских извештаја прописане законом којим се уређује рачуноводство и ревизија.</w:t>
      </w:r>
    </w:p>
    <w:p>
      <w:pPr>
        <w:pStyle w:val="Normal"/>
        <w:ind w:left="0" w:right="-563" w:hanging="0"/>
        <w:jc w:val="both"/>
        <w:rPr>
          <w:lang w:val="sr-CS"/>
        </w:rPr>
      </w:pPr>
      <w:r>
        <w:rPr>
          <w:lang w:val="sr-CS"/>
        </w:rPr>
        <w:tab/>
        <w:t>Из горе наведених законских обавеза, општина Параћин доноси Одлуку о ангажовању екстерне ревизије Завршног рачуна буџета општине Параћин за 201</w:t>
      </w:r>
      <w:r>
        <w:rPr/>
        <w:t>9</w:t>
      </w:r>
      <w:r>
        <w:rPr>
          <w:lang w:val="sr-CS"/>
        </w:rPr>
        <w:t>. годину.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f06f8"/>
    <w:pPr>
      <w:widowControl/>
      <w:bidi w:val="0"/>
      <w:spacing w:before="0" w:after="0"/>
      <w:ind w:left="0" w:hanging="0"/>
      <w:jc w:val="left"/>
    </w:pPr>
    <w:rPr>
      <w:rFonts w:ascii="Times New Roman" w:hAnsi="Times New Roman" w:eastAsia="Calibri" w:cs="Times New Roman" w:eastAsiaTheme="minorHAnsi"/>
      <w:color w:val="auto"/>
      <w:sz w:val="24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LibreOffice/5.1.0.3$Windows_x86 LibreOffice_project/5e3e00a007d9b3b6efb6797a8b8e57b51ab1f737</Application>
  <Pages>2</Pages>
  <Words>374</Words>
  <Characters>2271</Characters>
  <CharactersWithSpaces>2908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2018-04-18T07:16:00Z</dcterms:created>
  <dc:creator>sjankovi</dc:creator>
  <dc:description/>
  <dc:language>en-US</dc:language>
  <cp:lastModifiedBy/>
  <cp:lastPrinted>2019-02-26T12:08:00Z</cp:lastPrinted>
  <dcterms:modified xsi:type="dcterms:W3CDTF">2020-03-20T10:56:06Z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